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DD48" w14:textId="7E87C58C" w:rsidR="00C14C3B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D65FA6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>.</w:t>
      </w:r>
      <w:r w:rsidR="00024F7B">
        <w:rPr>
          <w:rFonts w:ascii="Trebuchet MS" w:hAnsi="Trebuchet MS"/>
          <w:sz w:val="20"/>
          <w:szCs w:val="20"/>
        </w:rPr>
        <w:t>01</w:t>
      </w:r>
      <w:r>
        <w:rPr>
          <w:rFonts w:ascii="Trebuchet MS" w:hAnsi="Trebuchet MS"/>
          <w:sz w:val="20"/>
          <w:szCs w:val="20"/>
        </w:rPr>
        <w:t>.202</w:t>
      </w:r>
      <w:r w:rsidR="00024F7B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0E671157" w14:textId="77777777" w:rsidR="00C14C3B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2310E596" w14:textId="7A8CDA2C" w:rsidR="00C14C3B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</w:t>
      </w:r>
      <w:r w:rsidR="00D65FA6">
        <w:rPr>
          <w:rFonts w:ascii="Trebuchet MS" w:hAnsi="Trebuchet MS"/>
          <w:sz w:val="18"/>
          <w:szCs w:val="18"/>
        </w:rPr>
        <w:t>8</w:t>
      </w:r>
      <w:r>
        <w:rPr>
          <w:rFonts w:ascii="Trebuchet MS" w:hAnsi="Trebuchet MS"/>
          <w:sz w:val="18"/>
          <w:szCs w:val="18"/>
        </w:rPr>
        <w:t>.202</w:t>
      </w:r>
      <w:r w:rsidR="00024F7B">
        <w:rPr>
          <w:rFonts w:ascii="Trebuchet MS" w:hAnsi="Trebuchet MS"/>
          <w:sz w:val="18"/>
          <w:szCs w:val="18"/>
        </w:rPr>
        <w:t>4</w:t>
      </w:r>
    </w:p>
    <w:p w14:paraId="5A44810F" w14:textId="4F100878" w:rsidR="00C14C3B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L.dz.            /202</w:t>
      </w:r>
      <w:r w:rsidR="00024F7B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</w:t>
      </w:r>
      <w:r w:rsidR="00D65FA6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111806ED" w14:textId="77777777" w:rsidR="00C14C3B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61CE69D8" w14:textId="77777777" w:rsidR="00C14C3B" w:rsidRDefault="00C14C3B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46BF62B4" w14:textId="77777777" w:rsidR="00C14C3B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373A680F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6B6EB07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26354BE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usługi wywozu nieczystości płynnych ze zbiornika bezodpływowego (szamba)</w:t>
      </w:r>
    </w:p>
    <w:p w14:paraId="77B6D7C2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zlokalizowanego na terenie ośrodka sportowego Miejskiego Ośrodka Sportu i Rekreacji przy ulicy</w:t>
      </w:r>
    </w:p>
    <w:p w14:paraId="1C34603C" w14:textId="6DA46C77" w:rsidR="00C14C3B" w:rsidRDefault="00000000" w:rsidP="00024F7B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Czarnoleśnej 14 w Rudzie Śląskiej – Nowym Bytomiu w roku 2024</w:t>
      </w:r>
    </w:p>
    <w:p w14:paraId="205C9818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1B439056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0A04EEE4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7A4D446A" w14:textId="77777777" w:rsidR="00C14C3B" w:rsidRDefault="00C14C3B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146A16E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0DABA373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0CAA25E2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767C096E" w14:textId="5A9912D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</w:t>
      </w:r>
      <w:r w:rsidR="00FC3B7C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21</w:t>
      </w:r>
    </w:p>
    <w:p w14:paraId="0F82BD9C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0B01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66102F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52BC24B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16DA1A10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2023 r., poz. 1605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hAnsi="Trebuchet MS" w:cs="Trebuchet MS"/>
          <w:sz w:val="20"/>
          <w:szCs w:val="20"/>
        </w:rPr>
        <w:t>).</w:t>
      </w:r>
    </w:p>
    <w:p w14:paraId="4826A28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357F7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5867C614" w14:textId="57CC7EEB" w:rsidR="00C14C3B" w:rsidRDefault="00024F7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14:paraId="2026E2E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EDB988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19764583" w14:textId="5534F655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Świadczenie usługi wywozu nieczystości płynnych ze zbiornika bezodpływowego (szamba) zlokalizowanego na terenie ośrodka sportowego Miejskiego Ośrodka Sportu i Rekreacji przy ulicy Czarnoleśnej 14 w Rudzie Śląskiej – Nowym Bytomiu na rok 2024</w:t>
      </w:r>
      <w:r w:rsidR="00024F7B">
        <w:rPr>
          <w:rFonts w:ascii="Trebuchet MS" w:hAnsi="Trebuchet MS"/>
          <w:sz w:val="20"/>
          <w:szCs w:val="20"/>
        </w:rPr>
        <w:t>.</w:t>
      </w:r>
    </w:p>
    <w:p w14:paraId="6955725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 CPV 90410000-4 Usługi usuwania ścieków</w:t>
      </w:r>
    </w:p>
    <w:p w14:paraId="0E10D6A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07134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257BE330" w14:textId="07A45D4D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do 31 grudnia 2024 roku.</w:t>
      </w:r>
    </w:p>
    <w:p w14:paraId="1CC7721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A70CB67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4437E93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świadczenie usługi wywozu nieczystości płynnych ze zbiornika bezodpływowego zlokalizowanego na terenie ośrodka sportowego przy ulicy Czarnoleśnej 14 w Rudzie Śląskiej – Nowym Bytomiu. Zakres przedmiotu zamówienia obejmuje każdorazowo:</w:t>
      </w:r>
    </w:p>
    <w:p w14:paraId="2FFB933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Dojazd pojazdem asenizacyjnym do zbiornika bezodpływowego na nieczystości płynne (lokalizacja szamba – załącznik nr 5).</w:t>
      </w:r>
    </w:p>
    <w:p w14:paraId="614A83F5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Opróżnienie zbiornika bezodpływowego z nieczystości płynnych (stanowiących ścieki socjalnobytowe).</w:t>
      </w:r>
    </w:p>
    <w:p w14:paraId="02B540F3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3) Wywiezienie nieczystości płynnych do oczyszczalni ścieków.</w:t>
      </w:r>
    </w:p>
    <w:p w14:paraId="7E894FD0" w14:textId="3650D72A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Szacunkowa ilość wywozu nieczystości płynnych wynosi około </w:t>
      </w:r>
      <w:r w:rsidR="00FC3B7C">
        <w:rPr>
          <w:rFonts w:ascii="Trebuchet MS" w:hAnsi="Trebuchet MS"/>
          <w:sz w:val="20"/>
          <w:szCs w:val="20"/>
        </w:rPr>
        <w:t xml:space="preserve">122 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przez okres trwania umowy. Zamawiający zastrzega sobie prawo zmniejszenia lub zwiększenia ilości 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nieczystości płynnych </w:t>
      </w:r>
      <w:r>
        <w:rPr>
          <w:rFonts w:ascii="Trebuchet MS" w:hAnsi="Trebuchet MS"/>
          <w:sz w:val="20"/>
          <w:szCs w:val="20"/>
        </w:rPr>
        <w:br/>
        <w:t>w zależności od rzeczywistych potrzeb Zamawiającego w okresie realizacji umowy.</w:t>
      </w:r>
    </w:p>
    <w:p w14:paraId="74C7DED7" w14:textId="75480EC6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Zamawiający wymaga, aby wywóz nieczystości płynnych wykonywany był pojazdem asenizacyjnym </w:t>
      </w:r>
      <w:r>
        <w:rPr>
          <w:rFonts w:ascii="Trebuchet MS" w:hAnsi="Trebuchet MS"/>
          <w:sz w:val="20"/>
          <w:szCs w:val="20"/>
        </w:rPr>
        <w:br/>
        <w:t xml:space="preserve">o pojemności beczki nie mniejszej niż </w:t>
      </w:r>
      <w:r w:rsidR="00FC3B7C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</w:t>
      </w:r>
      <w:r>
        <w:rPr>
          <w:rFonts w:ascii="Trebuchet MS" w:hAnsi="Trebuchet MS"/>
          <w:sz w:val="20"/>
          <w:szCs w:val="20"/>
          <w:vertAlign w:val="superscript"/>
        </w:rPr>
        <w:t>3.</w:t>
      </w:r>
    </w:p>
    <w:p w14:paraId="32BCCDD3" w14:textId="054995AC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4. W momencie odbioru nieczystości płynnych z terenu Zamawiającego, Wykonawca staje się ich faktycznym posiadaczem z wszelki konsekwencjami wynikającymi z ustawy z dnia 14.12.2012 r. o odpadach (Dz. U. </w:t>
      </w:r>
      <w:r w:rsidR="00FC3B7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2013 r., poz. 21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zm.).</w:t>
      </w:r>
    </w:p>
    <w:p w14:paraId="1030EAE7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5. </w:t>
      </w:r>
      <w:r>
        <w:rPr>
          <w:rFonts w:ascii="Trebuchet MS" w:eastAsia="Trebuchet MS" w:hAnsi="Trebuchet MS" w:cs="Trebuchet MS"/>
          <w:sz w:val="20"/>
          <w:szCs w:val="20"/>
        </w:rPr>
        <w:t>W załączeniu przesyłamy formularz ofertowy (załącznik nr 1),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 (załącznik nr 2), projekt umowy (załącznik nr 3) oraz klauzulę RODO do zapytania ofertowego (załącznik nr 4).</w:t>
      </w:r>
    </w:p>
    <w:p w14:paraId="6E94683F" w14:textId="753BB6A7" w:rsidR="00185D91" w:rsidRDefault="00185D9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6. Wykonawca powinien być w wykazie podmiotów posiadających zezwolenie na opróżnianie bezodpływowych i transport nieczystości ciekłych z terenu miasta Ruda Śląska (zezwolenie wydane na podstawie art. 7 ust. 1 pkt 2 ustawy o utrzymaniu czystości i porządku w gminach – tekst jednolity Dz. U. </w:t>
      </w:r>
      <w:r>
        <w:rPr>
          <w:rFonts w:ascii="Trebuchet MS" w:eastAsia="Trebuchet MS" w:hAnsi="Trebuchet MS" w:cs="Trebuchet MS"/>
          <w:sz w:val="20"/>
          <w:szCs w:val="20"/>
        </w:rPr>
        <w:br/>
        <w:t>z 2023 r., poz. 1469 ze zm.)</w:t>
      </w:r>
    </w:p>
    <w:p w14:paraId="3FB04BD4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959C86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346AD138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00E92019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A810EE4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424EFF6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8167902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12D329B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7DFB439D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B5DE00A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B6898CD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06BAE105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4A57298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1,</w:t>
      </w:r>
    </w:p>
    <w:p w14:paraId="0CE1CA90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4D249C9A" w14:textId="3AEE3B2E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należy dołączyć dokument potwierdzający zezwolenie na prowadzenie działalności w zakresie opróżniania zbiorników bezodpływowych i transportu nieczystości ciekłych</w:t>
      </w:r>
      <w:r w:rsidR="00024F7B">
        <w:rPr>
          <w:rFonts w:ascii="Trebuchet MS" w:eastAsia="Trebuchet MS" w:hAnsi="Trebuchet MS" w:cs="Trebuchet MS"/>
          <w:sz w:val="20"/>
          <w:szCs w:val="20"/>
        </w:rPr>
        <w:t xml:space="preserve"> z terenu miasta Ruda Śląska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109892D2" w14:textId="62137036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AE1E33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2023, poz. </w:t>
      </w:r>
      <w:r w:rsidR="00AE1E33">
        <w:rPr>
          <w:rFonts w:ascii="Trebuchet MS" w:eastAsia="Trebuchet MS" w:hAnsi="Trebuchet MS" w:cs="Trebuchet MS"/>
          <w:sz w:val="20"/>
          <w:szCs w:val="20"/>
        </w:rPr>
        <w:t>1497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219138DC" w14:textId="09D2D1C6" w:rsidR="00C14C3B" w:rsidRDefault="00024F7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5) należy dołączyć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5B3F21AB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1FFB7D7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0E09A1CB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2908E83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1EB8000C" w14:textId="27730AE9" w:rsidR="00C14C3B" w:rsidRDefault="00185D9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6) należy dołączyć pełnomocnictwo do podpisania oferty i załączników o ile prawo do reprezentowania </w:t>
      </w:r>
      <w:r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13E698A4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107A7B9C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5E4D3B5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769A9DE4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1.</w:t>
      </w:r>
    </w:p>
    <w:p w14:paraId="24A83D8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654DF84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7B3B9702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wywozu nieczystości płynnych ze zbiornika bezodpływowego zlokalizowanego na terenie ośrodka sportowego Miejskiego Ośrodka Sportu i Rekreacji przy ulicy Czarnoleśnej 14 w Rudzie Śląskiej – Nowym Bytomiu w roku 2024".</w:t>
      </w:r>
    </w:p>
    <w:p w14:paraId="381D1D4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4FF97992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30B9C024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610CE058" w14:textId="2B93C2BF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D65FA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460783C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29586EF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40A6FB76" w14:textId="77777777" w:rsidR="00C14C3B" w:rsidRDefault="00C14C3B">
      <w:pPr>
        <w:pStyle w:val="Standard"/>
        <w:spacing w:line="276" w:lineRule="auto"/>
        <w:jc w:val="both"/>
      </w:pPr>
    </w:p>
    <w:p w14:paraId="6109BB00" w14:textId="12C24768" w:rsidR="00C14C3B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D65FA6">
        <w:rPr>
          <w:rFonts w:ascii="Trebuchet MS" w:hAnsi="Trebuchet MS"/>
          <w:b/>
          <w:bCs/>
          <w:sz w:val="20"/>
          <w:szCs w:val="20"/>
          <w:u w:val="single"/>
        </w:rPr>
        <w:t>7</w:t>
      </w:r>
      <w:r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185D91">
        <w:rPr>
          <w:rFonts w:ascii="Trebuchet MS" w:hAnsi="Trebuchet MS"/>
          <w:b/>
          <w:bCs/>
          <w:sz w:val="20"/>
          <w:szCs w:val="20"/>
          <w:u w:val="single"/>
        </w:rPr>
        <w:t>01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185D91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4D57E6BC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 75 21. </w:t>
      </w:r>
    </w:p>
    <w:p w14:paraId="403B9E2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A30030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2EF220B4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- cena ofertowa 100% (najniższa cena). Cena ofertowa winna obejmować wszystkie koszty związane z realizacją zamówienia. </w:t>
      </w:r>
    </w:p>
    <w:p w14:paraId="19DD7375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Cenę oferty stanowić będzie jednostkowa cena brutto za wywóz nieczystości do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10m</w:t>
      </w:r>
      <w:r>
        <w:rPr>
          <w:rFonts w:ascii="Trebuchet MS" w:hAnsi="Trebuchet MS"/>
          <w:sz w:val="20"/>
          <w:szCs w:val="20"/>
          <w:vertAlign w:val="superscript"/>
        </w:rPr>
        <w:t xml:space="preserve">3 </w:t>
      </w:r>
      <w:r>
        <w:rPr>
          <w:rFonts w:ascii="Trebuchet MS" w:hAnsi="Trebuchet MS"/>
          <w:sz w:val="20"/>
          <w:szCs w:val="20"/>
        </w:rPr>
        <w:t xml:space="preserve"> x iloczyn wywozu usługi opróżniania szamba. Za cenę oferty uważać się będzie cenę brutto łącznie </w:t>
      </w:r>
      <w:r>
        <w:rPr>
          <w:rFonts w:ascii="Trebuchet MS" w:hAnsi="Trebuchet MS"/>
          <w:sz w:val="20"/>
          <w:szCs w:val="20"/>
        </w:rPr>
        <w:br/>
        <w:t>(z należnym podatkiem VAT) za wykonanie całego zakresu zamówienia, który należy wyliczyć wg zasad zawartych w formularzu oferty, stanowiącym załącznik nr 1 do zapytania ofertowego. Oferowana cena brutto za całość zamówienia, powinna wynikać z iloczynu ceny jednostkowej brutto za 1 wywóz (danej jednostki –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10m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) szacowanej ilości nieczystości płynnych przewidzianych do wywiezienia </w:t>
      </w:r>
      <w:r>
        <w:rPr>
          <w:rFonts w:ascii="Trebuchet MS" w:hAnsi="Trebuchet MS"/>
          <w:sz w:val="20"/>
          <w:szCs w:val="20"/>
        </w:rPr>
        <w:br/>
        <w:t>w okresie trwania umowy.</w:t>
      </w:r>
    </w:p>
    <w:p w14:paraId="5FA30FB7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9ED2E0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210C845D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3EA4F8" w14:textId="5E64873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164BBF59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72F8798B" w14:textId="24086874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</w:t>
      </w:r>
      <w:r>
        <w:rPr>
          <w:rFonts w:ascii="Trebuchet MS" w:eastAsia="Trebuchet MS" w:hAnsi="Trebuchet MS" w:cs="Trebuchet MS"/>
          <w:sz w:val="21"/>
          <w:szCs w:val="21"/>
        </w:rPr>
        <w:t>C</w:t>
      </w:r>
    </w:p>
    <w:p w14:paraId="415BBCE3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776A1FD0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D53561D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411B7193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4E0E27A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5D4680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5F6670B8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7FF22F9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11EDAC63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FB043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lastRenderedPageBreak/>
        <w:t>Zamawiającego ofert dodatkowych. Zamawiający niezwłocznie, nie później jednak niż w ciągu 3 dni roboczych od terminu składania ofert, dokona wyboru najkorzystniejszej oferty.</w:t>
      </w:r>
    </w:p>
    <w:p w14:paraId="69DE93CA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AD8A159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3B29B9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7606C10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7C28CC1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42B5DF6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4EC06FB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8ADF6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5A8578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1633380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45F937C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04DE12A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567E7B7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4D5271A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EDFA23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145FADF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35A1B260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1744D7F5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471D85A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29C511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1DFFD3B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028F6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71D61B0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99254DD" w14:textId="77777777" w:rsidR="00D65FA6" w:rsidRDefault="00D65FA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398190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22C6F57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Formularz ofertowy,</w:t>
      </w:r>
    </w:p>
    <w:p w14:paraId="0DB84A87" w14:textId="6497BA5A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</w:t>
      </w:r>
      <w:r w:rsidR="00AE1E33">
        <w:rPr>
          <w:rFonts w:ascii="Trebuchet MS" w:hAnsi="Trebuchet MS"/>
          <w:sz w:val="20"/>
          <w:szCs w:val="20"/>
        </w:rPr>
        <w:t xml:space="preserve"> (Dz. U. z 2023, poz. 1497)</w:t>
      </w:r>
      <w:r>
        <w:rPr>
          <w:rFonts w:ascii="Trebuchet MS" w:hAnsi="Trebuchet MS"/>
          <w:sz w:val="20"/>
          <w:szCs w:val="20"/>
        </w:rPr>
        <w:t>,</w:t>
      </w:r>
    </w:p>
    <w:p w14:paraId="720FE26D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3 - Projekt umowy,</w:t>
      </w:r>
    </w:p>
    <w:p w14:paraId="666E5114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</w:p>
    <w:p w14:paraId="3129523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Załącznik mapowy – lokalizacja szamba.</w:t>
      </w:r>
    </w:p>
    <w:p w14:paraId="1944F688" w14:textId="77777777" w:rsidR="00C14C3B" w:rsidRDefault="00C14C3B">
      <w:pPr>
        <w:pStyle w:val="Standard"/>
        <w:spacing w:line="276" w:lineRule="auto"/>
        <w:jc w:val="both"/>
        <w:rPr>
          <w:sz w:val="20"/>
          <w:szCs w:val="20"/>
        </w:rPr>
      </w:pPr>
    </w:p>
    <w:p w14:paraId="05B2895D" w14:textId="77777777" w:rsidR="00C14C3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2D4C72FA" w14:textId="77777777" w:rsidR="00C14C3B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68E3B184" w14:textId="77777777" w:rsidR="00C14C3B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C14C3B">
      <w:footerReference w:type="default" r:id="rId10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446B" w14:textId="77777777" w:rsidR="00BC6FC8" w:rsidRDefault="00BC6FC8">
      <w:r>
        <w:separator/>
      </w:r>
    </w:p>
  </w:endnote>
  <w:endnote w:type="continuationSeparator" w:id="0">
    <w:p w14:paraId="75968D96" w14:textId="77777777" w:rsidR="00BC6FC8" w:rsidRDefault="00B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EA3B" w14:textId="77777777" w:rsidR="00C14C3B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5D35" w14:textId="77777777" w:rsidR="00BC6FC8" w:rsidRDefault="00BC6FC8">
      <w:r>
        <w:separator/>
      </w:r>
    </w:p>
  </w:footnote>
  <w:footnote w:type="continuationSeparator" w:id="0">
    <w:p w14:paraId="51F8E8D8" w14:textId="77777777" w:rsidR="00BC6FC8" w:rsidRDefault="00B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7067"/>
    <w:multiLevelType w:val="multilevel"/>
    <w:tmpl w:val="BAFA77E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206DA1"/>
    <w:multiLevelType w:val="multilevel"/>
    <w:tmpl w:val="1F0C4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7729636">
    <w:abstractNumId w:val="0"/>
  </w:num>
  <w:num w:numId="2" w16cid:durableId="111313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3B"/>
    <w:rsid w:val="00024F7B"/>
    <w:rsid w:val="00185D91"/>
    <w:rsid w:val="005B108A"/>
    <w:rsid w:val="006D21C2"/>
    <w:rsid w:val="00AE1E33"/>
    <w:rsid w:val="00BC6FC8"/>
    <w:rsid w:val="00BE2D76"/>
    <w:rsid w:val="00C14C3B"/>
    <w:rsid w:val="00D65FA6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D4B"/>
  <w15:docId w15:val="{BB9022BD-FEB3-4BF2-97FA-FE236A3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19</cp:revision>
  <cp:lastPrinted>2024-01-12T09:01:00Z</cp:lastPrinted>
  <dcterms:created xsi:type="dcterms:W3CDTF">2022-12-01T13:29:00Z</dcterms:created>
  <dcterms:modified xsi:type="dcterms:W3CDTF">2024-01-12T09:02:00Z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